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A5F1" w14:textId="44E069A6" w:rsidR="002C2DE1" w:rsidRDefault="002C2DE1">
      <w:r>
        <w:t>Broj:</w:t>
      </w:r>
      <w:r w:rsidR="00F15ABD" w:rsidRPr="00F15ABD">
        <w:t xml:space="preserve"> </w:t>
      </w:r>
      <w:r w:rsidR="006C5862">
        <w:t>11-03-03-24823-12/24</w:t>
      </w:r>
    </w:p>
    <w:p w14:paraId="44FBBA29" w14:textId="59934697" w:rsidR="002C2DE1" w:rsidRPr="00F76371" w:rsidRDefault="00482432">
      <w:r w:rsidRPr="00F76371">
        <w:t xml:space="preserve">Sarajevo, </w:t>
      </w:r>
      <w:r w:rsidR="00F76371" w:rsidRPr="00F76371">
        <w:t>05.08.2024. godine</w:t>
      </w:r>
    </w:p>
    <w:p w14:paraId="082185CD" w14:textId="756A4869" w:rsidR="002C2DE1" w:rsidRDefault="002C2DE1"/>
    <w:p w14:paraId="0968D72A" w14:textId="77777777" w:rsidR="00CC08F4" w:rsidRDefault="00CC08F4"/>
    <w:p w14:paraId="0916B7DB" w14:textId="35A934AF" w:rsidR="002C2DE1" w:rsidRPr="006C5862" w:rsidRDefault="002C2DE1" w:rsidP="006C5862">
      <w:pPr>
        <w:jc w:val="both"/>
      </w:pPr>
      <w:r>
        <w:t xml:space="preserve">Na osnovu člana 56. Zakona o organizaciji uprave u Federaciji Bosne i Hercegovine („Službene novine Federacije BiH“, broj: 35/05), a u vezi sa Javnim pozivom </w:t>
      </w:r>
      <w:r w:rsidR="006C5862">
        <w:rPr>
          <w:lang w:val="bs-Latn-BA" w:eastAsia="en-GB"/>
        </w:rPr>
        <w:t xml:space="preserve">za podnošenje prijava neprofitnih organizacija </w:t>
      </w:r>
      <w:r w:rsidR="006C5862" w:rsidRPr="006767DE">
        <w:rPr>
          <w:lang w:val="bs-Latn-BA" w:eastAsia="en-GB"/>
        </w:rPr>
        <w:t xml:space="preserve">i pojedinaca </w:t>
      </w:r>
      <w:r w:rsidR="006C5862">
        <w:rPr>
          <w:lang w:val="bs-Latn-BA" w:eastAsia="en-GB"/>
        </w:rPr>
        <w:t xml:space="preserve">za dodjelu sredstava u svrhu finansiranja/sufinansiranja aktivnosti/programa/projekata </w:t>
      </w:r>
      <w:r w:rsidR="006C5862">
        <w:t xml:space="preserve">u skladu sa Zakonom o osnovama bezbjednosti saobraćaja na putevima u BiH za djecu predškolskog uzrasta, učenike osnovnih, srednjih škola i mladih s teškoćama u razvoju, sa područja Kantona Sarajevo, </w:t>
      </w:r>
      <w:r>
        <w:t>iz Budžeta Kantona Sarajevo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6C5862">
        <w:t>4</w:t>
      </w:r>
      <w:r>
        <w:t xml:space="preserve">. godinu, broj: </w:t>
      </w:r>
      <w:r w:rsidR="006C5862">
        <w:rPr>
          <w:lang w:val="bs-Latn-BA" w:eastAsia="en-GB"/>
        </w:rPr>
        <w:t>11-03-03-24823-4/24</w:t>
      </w:r>
      <w:r>
        <w:t xml:space="preserve">, od </w:t>
      </w:r>
      <w:r w:rsidR="006C5862">
        <w:t>24</w:t>
      </w:r>
      <w:r>
        <w:t>.5.202</w:t>
      </w:r>
      <w:r w:rsidR="006C5862">
        <w:t>4</w:t>
      </w:r>
      <w:r>
        <w:t>. godine, ministrica za odgoj i obrazovanje Kantona Sarajevo donosi</w:t>
      </w:r>
    </w:p>
    <w:p w14:paraId="479810BE" w14:textId="77777777" w:rsidR="002C2DE1" w:rsidRDefault="002C2DE1" w:rsidP="002C2DE1">
      <w:pPr>
        <w:pStyle w:val="BodyText"/>
        <w:ind w:right="200"/>
        <w:jc w:val="both"/>
      </w:pPr>
    </w:p>
    <w:p w14:paraId="2FC72E1A" w14:textId="161312D8" w:rsidR="00737AE0" w:rsidRDefault="00737AE0" w:rsidP="002C2DE1">
      <w:pPr>
        <w:pStyle w:val="BodyText"/>
        <w:ind w:right="200"/>
        <w:jc w:val="both"/>
      </w:pPr>
    </w:p>
    <w:p w14:paraId="74C69EDD" w14:textId="77777777" w:rsidR="00CC08F4" w:rsidRDefault="00CC08F4" w:rsidP="002C2DE1">
      <w:pPr>
        <w:pStyle w:val="BodyText"/>
        <w:ind w:right="200"/>
        <w:jc w:val="both"/>
      </w:pPr>
    </w:p>
    <w:p w14:paraId="07407690" w14:textId="77777777" w:rsidR="002C2DE1" w:rsidRDefault="002C2DE1" w:rsidP="002C2DE1">
      <w:pPr>
        <w:pStyle w:val="BodyText"/>
        <w:ind w:right="200"/>
        <w:jc w:val="center"/>
        <w:rPr>
          <w:b/>
        </w:rPr>
      </w:pPr>
      <w:r w:rsidRPr="006805A1">
        <w:rPr>
          <w:b/>
        </w:rPr>
        <w:t>Odluku o utvrđivanju konačne liste dobitnika</w:t>
      </w:r>
    </w:p>
    <w:p w14:paraId="4F1120FE" w14:textId="77777777" w:rsidR="00192D33" w:rsidRDefault="00192D33" w:rsidP="002C2DE1">
      <w:pPr>
        <w:pStyle w:val="BodyText"/>
        <w:ind w:right="200"/>
        <w:jc w:val="center"/>
        <w:rPr>
          <w:b/>
        </w:rPr>
      </w:pPr>
    </w:p>
    <w:p w14:paraId="5F2B9054" w14:textId="7BE9EAEE" w:rsidR="006805A1" w:rsidRDefault="006805A1" w:rsidP="002C2DE1">
      <w:pPr>
        <w:pStyle w:val="BodyText"/>
        <w:ind w:right="200"/>
        <w:jc w:val="center"/>
      </w:pPr>
      <w:r w:rsidRPr="006805A1">
        <w:t>po</w:t>
      </w:r>
      <w:r>
        <w:rPr>
          <w:b/>
        </w:rPr>
        <w:t xml:space="preserve"> </w:t>
      </w:r>
      <w:r>
        <w:t xml:space="preserve">Javnom pozivu </w:t>
      </w:r>
      <w:r w:rsidR="006C5862">
        <w:rPr>
          <w:lang w:val="bs-Latn-BA" w:eastAsia="en-GB"/>
        </w:rPr>
        <w:t xml:space="preserve">za podnošenje prijava neprofitnih organizacija </w:t>
      </w:r>
      <w:r w:rsidR="006C5862" w:rsidRPr="006767DE">
        <w:rPr>
          <w:lang w:val="bs-Latn-BA" w:eastAsia="en-GB"/>
        </w:rPr>
        <w:t xml:space="preserve">i pojedinaca </w:t>
      </w:r>
      <w:r w:rsidR="006C5862">
        <w:rPr>
          <w:lang w:val="bs-Latn-BA" w:eastAsia="en-GB"/>
        </w:rPr>
        <w:t xml:space="preserve">za dodjelu sredstava u svrhu finansiranja/sufinansiranja aktivnosti/programa/projekata </w:t>
      </w:r>
      <w:r w:rsidR="006C5862">
        <w:t>u skladu sa Zakonom o osnovama bezbjednosti saobraćaja na putevima u BiH za djecu predškolskog uzrasta, učenike osnovnih, srednjih škola i mladih s teškoćama u razvoju, sa područja Kantona Sarajevo</w:t>
      </w:r>
      <w:r>
        <w:t>,</w:t>
      </w:r>
      <w:r>
        <w:rPr>
          <w:spacing w:val="1"/>
        </w:rPr>
        <w:t xml:space="preserve"> </w:t>
      </w:r>
      <w:r>
        <w:t>iz Budžeta Kantona Sarajevo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6C5862">
        <w:t>4</w:t>
      </w:r>
      <w:r>
        <w:t>. godinu, sa pozicije Ministarstva za odgoj i obrazovanje Kantona Sarajevo</w:t>
      </w:r>
    </w:p>
    <w:p w14:paraId="254CE17A" w14:textId="02C97F8C" w:rsidR="006805A1" w:rsidRDefault="006805A1" w:rsidP="002C2DE1">
      <w:pPr>
        <w:pStyle w:val="BodyText"/>
        <w:ind w:right="200"/>
        <w:jc w:val="center"/>
      </w:pPr>
    </w:p>
    <w:p w14:paraId="072EC9B2" w14:textId="77777777" w:rsidR="00CC08F4" w:rsidRDefault="00CC08F4" w:rsidP="002C2DE1">
      <w:pPr>
        <w:pStyle w:val="BodyText"/>
        <w:ind w:right="200"/>
        <w:jc w:val="center"/>
      </w:pPr>
    </w:p>
    <w:p w14:paraId="1172BB92" w14:textId="77777777" w:rsidR="006805A1" w:rsidRPr="006805A1" w:rsidRDefault="006805A1" w:rsidP="002C2DE1">
      <w:pPr>
        <w:pStyle w:val="BodyText"/>
        <w:ind w:right="200"/>
        <w:jc w:val="center"/>
        <w:rPr>
          <w:b/>
        </w:rPr>
      </w:pPr>
      <w:r w:rsidRPr="006805A1">
        <w:rPr>
          <w:b/>
        </w:rPr>
        <w:t>I</w:t>
      </w:r>
    </w:p>
    <w:p w14:paraId="799296FE" w14:textId="77777777" w:rsidR="006805A1" w:rsidRDefault="006805A1" w:rsidP="002C2DE1">
      <w:pPr>
        <w:pStyle w:val="BodyText"/>
        <w:ind w:right="200"/>
        <w:jc w:val="center"/>
      </w:pPr>
    </w:p>
    <w:p w14:paraId="07B78F01" w14:textId="4818AB23" w:rsidR="006622D8" w:rsidRDefault="006805A1" w:rsidP="006805A1">
      <w:pPr>
        <w:pStyle w:val="BodyText"/>
        <w:ind w:right="200"/>
        <w:jc w:val="both"/>
      </w:pPr>
      <w:r>
        <w:t xml:space="preserve">Utvrđuje se konačna lista dobitnika sredstava po Javnom pozivu </w:t>
      </w:r>
      <w:r w:rsidR="00CC08F4">
        <w:rPr>
          <w:lang w:val="bs-Latn-BA" w:eastAsia="en-GB"/>
        </w:rPr>
        <w:t xml:space="preserve">za podnošenje prijava neprofitnih organizacija </w:t>
      </w:r>
      <w:r w:rsidR="00CC08F4" w:rsidRPr="006767DE">
        <w:rPr>
          <w:lang w:val="bs-Latn-BA" w:eastAsia="en-GB"/>
        </w:rPr>
        <w:t xml:space="preserve">i pojedinaca </w:t>
      </w:r>
      <w:r w:rsidR="00CC08F4">
        <w:rPr>
          <w:lang w:val="bs-Latn-BA" w:eastAsia="en-GB"/>
        </w:rPr>
        <w:t xml:space="preserve">za dodjelu sredstava u svrhu finansiranja/sufinansiranja aktivnosti/programa/projekata </w:t>
      </w:r>
      <w:r w:rsidR="00CC08F4">
        <w:t>u skladu sa Zakonom o osnovama bezbjednosti saobraćaja na putevima u BiH za djecu predškolskog uzrasta, učenike osnovnih, srednjih škola i mladih s teškoćama u razvoju, sa područja Kantona Sarajevo</w:t>
      </w:r>
      <w:r>
        <w:t>,</w:t>
      </w:r>
      <w:r>
        <w:rPr>
          <w:spacing w:val="1"/>
        </w:rPr>
        <w:t xml:space="preserve"> </w:t>
      </w:r>
      <w:r>
        <w:t>iz Budžeta Kantona Sarajevo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CC08F4">
        <w:t>4</w:t>
      </w:r>
      <w:r>
        <w:t>. godinu</w:t>
      </w:r>
      <w:r w:rsidR="006622D8">
        <w:t>, sa pozicije Ministarstva za odgoj i obrazovanje Kantona Sarajevo.</w:t>
      </w:r>
    </w:p>
    <w:p w14:paraId="27E5F709" w14:textId="28FC6F1C" w:rsidR="00171455" w:rsidRDefault="00171455" w:rsidP="006805A1">
      <w:pPr>
        <w:pStyle w:val="BodyText"/>
        <w:ind w:right="200"/>
        <w:jc w:val="both"/>
      </w:pPr>
    </w:p>
    <w:p w14:paraId="773F4D8A" w14:textId="77777777" w:rsidR="00CC08F4" w:rsidRDefault="00CC08F4" w:rsidP="006805A1">
      <w:pPr>
        <w:pStyle w:val="BodyText"/>
        <w:ind w:right="200"/>
        <w:jc w:val="both"/>
      </w:pPr>
    </w:p>
    <w:p w14:paraId="3C42D921" w14:textId="77777777" w:rsidR="006622D8" w:rsidRPr="006622D8" w:rsidRDefault="006622D8" w:rsidP="006622D8">
      <w:pPr>
        <w:pStyle w:val="BodyText"/>
        <w:ind w:right="200"/>
        <w:jc w:val="center"/>
        <w:rPr>
          <w:b/>
        </w:rPr>
      </w:pPr>
      <w:r w:rsidRPr="006622D8">
        <w:rPr>
          <w:b/>
        </w:rPr>
        <w:t>II</w:t>
      </w:r>
    </w:p>
    <w:p w14:paraId="6B909E0D" w14:textId="77777777" w:rsidR="006622D8" w:rsidRDefault="006622D8" w:rsidP="006805A1">
      <w:pPr>
        <w:pStyle w:val="BodyText"/>
        <w:ind w:right="200"/>
        <w:jc w:val="both"/>
      </w:pPr>
    </w:p>
    <w:p w14:paraId="260C5B79" w14:textId="77777777" w:rsidR="006622D8" w:rsidRDefault="006622D8" w:rsidP="006805A1">
      <w:pPr>
        <w:pStyle w:val="BodyText"/>
        <w:ind w:right="200"/>
        <w:jc w:val="both"/>
      </w:pPr>
      <w:r>
        <w:t>Utvrđuje se iznos sredstava za dobitnika sredstava, u skladu sa uslovima propisanim Javnim pozivom iz tačke I ove Odluke, kako slijedi:</w:t>
      </w:r>
    </w:p>
    <w:p w14:paraId="431E0973" w14:textId="77777777" w:rsidR="006622D8" w:rsidRDefault="006622D8" w:rsidP="006805A1">
      <w:pPr>
        <w:pStyle w:val="BodyText"/>
        <w:ind w:right="200"/>
        <w:jc w:val="both"/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0"/>
        <w:gridCol w:w="3651"/>
        <w:gridCol w:w="2252"/>
        <w:gridCol w:w="2257"/>
      </w:tblGrid>
      <w:tr w:rsidR="006622D8" w14:paraId="0A76A0A4" w14:textId="77777777" w:rsidTr="00CC08F4">
        <w:trPr>
          <w:trHeight w:val="991"/>
        </w:trPr>
        <w:tc>
          <w:tcPr>
            <w:tcW w:w="900" w:type="dxa"/>
          </w:tcPr>
          <w:p w14:paraId="725D481B" w14:textId="77777777" w:rsidR="006622D8" w:rsidRDefault="006622D8" w:rsidP="006805A1">
            <w:pPr>
              <w:pStyle w:val="BodyText"/>
              <w:ind w:right="200"/>
              <w:jc w:val="both"/>
              <w:rPr>
                <w:b/>
              </w:rPr>
            </w:pPr>
          </w:p>
          <w:p w14:paraId="7FA43103" w14:textId="77777777" w:rsidR="006622D8" w:rsidRDefault="006622D8" w:rsidP="006805A1">
            <w:pPr>
              <w:pStyle w:val="BodyText"/>
              <w:ind w:right="200"/>
              <w:jc w:val="both"/>
              <w:rPr>
                <w:b/>
              </w:rPr>
            </w:pPr>
            <w:r>
              <w:rPr>
                <w:b/>
              </w:rPr>
              <w:t xml:space="preserve">R/br </w:t>
            </w:r>
          </w:p>
        </w:tc>
        <w:tc>
          <w:tcPr>
            <w:tcW w:w="3651" w:type="dxa"/>
          </w:tcPr>
          <w:p w14:paraId="58F92E02" w14:textId="77777777" w:rsidR="00FD59FE" w:rsidRDefault="00FD59FE" w:rsidP="006622D8">
            <w:pPr>
              <w:pStyle w:val="BodyText"/>
              <w:ind w:right="200"/>
              <w:jc w:val="center"/>
              <w:rPr>
                <w:b/>
              </w:rPr>
            </w:pPr>
          </w:p>
          <w:p w14:paraId="6A66EE8C" w14:textId="77777777" w:rsidR="006622D8" w:rsidRDefault="006622D8" w:rsidP="006622D8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Naziv udruženja</w:t>
            </w:r>
          </w:p>
        </w:tc>
        <w:tc>
          <w:tcPr>
            <w:tcW w:w="2252" w:type="dxa"/>
          </w:tcPr>
          <w:p w14:paraId="09DA5950" w14:textId="77777777" w:rsidR="00FD59FE" w:rsidRDefault="00FD59FE" w:rsidP="006622D8">
            <w:pPr>
              <w:pStyle w:val="BodyText"/>
              <w:ind w:right="200"/>
              <w:jc w:val="center"/>
              <w:rPr>
                <w:b/>
              </w:rPr>
            </w:pPr>
          </w:p>
          <w:p w14:paraId="18A10D7C" w14:textId="77777777" w:rsidR="006622D8" w:rsidRDefault="006622D8" w:rsidP="006622D8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Naziv projekta</w:t>
            </w:r>
          </w:p>
        </w:tc>
        <w:tc>
          <w:tcPr>
            <w:tcW w:w="2257" w:type="dxa"/>
          </w:tcPr>
          <w:p w14:paraId="758F0318" w14:textId="77777777" w:rsidR="006622D8" w:rsidRDefault="006622D8" w:rsidP="006622D8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Iznos dodijeljenih sredstava</w:t>
            </w:r>
          </w:p>
        </w:tc>
      </w:tr>
      <w:tr w:rsidR="00CC08F4" w14:paraId="53E04FB9" w14:textId="77777777" w:rsidTr="00CC08F4">
        <w:trPr>
          <w:trHeight w:val="646"/>
        </w:trPr>
        <w:tc>
          <w:tcPr>
            <w:tcW w:w="900" w:type="dxa"/>
          </w:tcPr>
          <w:p w14:paraId="6B0EB425" w14:textId="77777777" w:rsidR="00CC08F4" w:rsidRDefault="00CC08F4" w:rsidP="00CC08F4">
            <w:pPr>
              <w:pStyle w:val="TableParagraph"/>
              <w:spacing w:line="271" w:lineRule="exact"/>
              <w:ind w:left="110"/>
              <w:jc w:val="center"/>
              <w:rPr>
                <w:b/>
                <w:sz w:val="24"/>
              </w:rPr>
            </w:pPr>
          </w:p>
          <w:p w14:paraId="29E06759" w14:textId="2E21E6F4" w:rsidR="00CC08F4" w:rsidRDefault="00CC08F4" w:rsidP="00CC08F4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51" w:type="dxa"/>
            <w:vAlign w:val="center"/>
          </w:tcPr>
          <w:p w14:paraId="20E98BBD" w14:textId="299C6AFB" w:rsidR="00CC08F4" w:rsidRPr="00C55392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color w:val="000000"/>
              </w:rPr>
              <w:t>Udruženje majki "Brižne ruke"</w:t>
            </w:r>
          </w:p>
        </w:tc>
        <w:tc>
          <w:tcPr>
            <w:tcW w:w="2252" w:type="dxa"/>
            <w:vAlign w:val="center"/>
          </w:tcPr>
          <w:p w14:paraId="49D319B0" w14:textId="70C0E431" w:rsidR="00CC08F4" w:rsidRPr="00C55392" w:rsidRDefault="00CC08F4" w:rsidP="00CC08F4">
            <w:pPr>
              <w:jc w:val="center"/>
              <w:rPr>
                <w:color w:val="000000"/>
                <w:lang w:val="bs-Latn-BA"/>
              </w:rPr>
            </w:pPr>
            <w:r w:rsidRPr="00983562">
              <w:rPr>
                <w:color w:val="000000"/>
                <w:lang w:val="en-GB" w:eastAsia="en-GB"/>
              </w:rPr>
              <w:t>Bezbjedni koraci</w:t>
            </w:r>
            <w:r w:rsidRPr="00983562">
              <w:rPr>
                <w:color w:val="000000"/>
                <w:lang w:val="bs-Latn-BA"/>
              </w:rPr>
              <w:t xml:space="preserve"> </w:t>
            </w:r>
          </w:p>
        </w:tc>
        <w:tc>
          <w:tcPr>
            <w:tcW w:w="2257" w:type="dxa"/>
          </w:tcPr>
          <w:p w14:paraId="7E3482FA" w14:textId="77777777" w:rsidR="00CC08F4" w:rsidRPr="00983562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</w:p>
          <w:p w14:paraId="45331603" w14:textId="3F91B059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8.000,00KM</w:t>
            </w:r>
          </w:p>
        </w:tc>
      </w:tr>
      <w:tr w:rsidR="00CC08F4" w14:paraId="3F8B3339" w14:textId="77777777" w:rsidTr="00CC08F4">
        <w:trPr>
          <w:trHeight w:val="991"/>
        </w:trPr>
        <w:tc>
          <w:tcPr>
            <w:tcW w:w="900" w:type="dxa"/>
          </w:tcPr>
          <w:p w14:paraId="1FEFFF50" w14:textId="77777777" w:rsidR="00CC08F4" w:rsidRDefault="00CC08F4" w:rsidP="00CC08F4">
            <w:pPr>
              <w:pStyle w:val="TableParagraph"/>
              <w:spacing w:line="271" w:lineRule="exact"/>
              <w:ind w:left="110"/>
              <w:jc w:val="center"/>
              <w:rPr>
                <w:b/>
                <w:sz w:val="24"/>
              </w:rPr>
            </w:pPr>
          </w:p>
          <w:p w14:paraId="308FB8EC" w14:textId="552262AC" w:rsidR="00CC08F4" w:rsidRDefault="00CC08F4" w:rsidP="00CC08F4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1" w:type="dxa"/>
            <w:vAlign w:val="center"/>
          </w:tcPr>
          <w:p w14:paraId="14B5F893" w14:textId="23304CAF" w:rsidR="00CC08F4" w:rsidRPr="00C55392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color w:val="000000"/>
                <w:lang w:val="en-GB" w:eastAsia="en-GB"/>
              </w:rPr>
              <w:t>Auto 4x4 Club</w:t>
            </w:r>
          </w:p>
        </w:tc>
        <w:tc>
          <w:tcPr>
            <w:tcW w:w="2252" w:type="dxa"/>
            <w:vAlign w:val="center"/>
          </w:tcPr>
          <w:p w14:paraId="240DD3C7" w14:textId="0EFA9425" w:rsidR="00CC08F4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color w:val="000000"/>
                <w:lang w:val="en-GB" w:eastAsia="en-GB"/>
              </w:rPr>
              <w:t>PREVENT- Edukacija vozača električnih romobila</w:t>
            </w:r>
          </w:p>
        </w:tc>
        <w:tc>
          <w:tcPr>
            <w:tcW w:w="2257" w:type="dxa"/>
          </w:tcPr>
          <w:p w14:paraId="24B8FB09" w14:textId="77777777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</w:p>
          <w:p w14:paraId="418251DC" w14:textId="7CE2D2AC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10.</w:t>
            </w:r>
            <w:r w:rsidRPr="00A60BF7">
              <w:rPr>
                <w:sz w:val="24"/>
                <w:szCs w:val="24"/>
              </w:rPr>
              <w:t>000,00KM</w:t>
            </w:r>
          </w:p>
        </w:tc>
      </w:tr>
      <w:tr w:rsidR="00CC08F4" w14:paraId="65E8AE03" w14:textId="77777777" w:rsidTr="00CC08F4">
        <w:trPr>
          <w:trHeight w:val="661"/>
        </w:trPr>
        <w:tc>
          <w:tcPr>
            <w:tcW w:w="900" w:type="dxa"/>
          </w:tcPr>
          <w:p w14:paraId="55F96EDD" w14:textId="77777777" w:rsidR="00CC08F4" w:rsidRDefault="00CC08F4" w:rsidP="00CC08F4">
            <w:pPr>
              <w:pStyle w:val="TableParagraph"/>
              <w:spacing w:line="271" w:lineRule="exact"/>
              <w:ind w:left="110"/>
              <w:jc w:val="center"/>
              <w:rPr>
                <w:b/>
                <w:sz w:val="24"/>
              </w:rPr>
            </w:pPr>
          </w:p>
          <w:p w14:paraId="763F32F4" w14:textId="5D1EEFEC" w:rsidR="00CC08F4" w:rsidRDefault="00CC08F4" w:rsidP="00CC08F4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1" w:type="dxa"/>
            <w:vAlign w:val="center"/>
          </w:tcPr>
          <w:p w14:paraId="7192BBBD" w14:textId="06E71032" w:rsidR="00CC08F4" w:rsidRPr="00C55392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color w:val="000000"/>
                <w:lang w:val="en-GB" w:eastAsia="en-GB"/>
              </w:rPr>
              <w:t>Udruženje kriminalista, kriminologa i menadžera sigurnosti</w:t>
            </w:r>
          </w:p>
        </w:tc>
        <w:tc>
          <w:tcPr>
            <w:tcW w:w="2252" w:type="dxa"/>
            <w:vAlign w:val="center"/>
          </w:tcPr>
          <w:p w14:paraId="253940AA" w14:textId="6965115F" w:rsidR="00CC08F4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color w:val="000000"/>
                <w:lang w:val="en-GB" w:eastAsia="en-GB"/>
              </w:rPr>
              <w:t>Biraj saobraćajnu kulturu</w:t>
            </w:r>
          </w:p>
        </w:tc>
        <w:tc>
          <w:tcPr>
            <w:tcW w:w="2257" w:type="dxa"/>
          </w:tcPr>
          <w:p w14:paraId="20728F1A" w14:textId="65586717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6.</w:t>
            </w:r>
            <w:r w:rsidRPr="00A60BF7">
              <w:rPr>
                <w:sz w:val="24"/>
                <w:szCs w:val="24"/>
              </w:rPr>
              <w:t>000,00KM</w:t>
            </w:r>
          </w:p>
        </w:tc>
      </w:tr>
      <w:tr w:rsidR="00CC08F4" w14:paraId="0908CE20" w14:textId="77777777" w:rsidTr="00CC08F4">
        <w:trPr>
          <w:trHeight w:val="1639"/>
        </w:trPr>
        <w:tc>
          <w:tcPr>
            <w:tcW w:w="900" w:type="dxa"/>
          </w:tcPr>
          <w:p w14:paraId="0D342E63" w14:textId="77777777" w:rsidR="00CC08F4" w:rsidRDefault="00CC08F4" w:rsidP="00CC08F4">
            <w:pPr>
              <w:pStyle w:val="TableParagraph"/>
              <w:spacing w:line="271" w:lineRule="exact"/>
              <w:ind w:left="110"/>
              <w:jc w:val="center"/>
              <w:rPr>
                <w:b/>
                <w:sz w:val="24"/>
              </w:rPr>
            </w:pPr>
          </w:p>
          <w:p w14:paraId="7F72301C" w14:textId="25E44D14" w:rsidR="00CC08F4" w:rsidRDefault="00CC08F4" w:rsidP="00CC08F4">
            <w:pPr>
              <w:pStyle w:val="BodyText"/>
              <w:ind w:right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1" w:type="dxa"/>
            <w:vAlign w:val="center"/>
          </w:tcPr>
          <w:p w14:paraId="5AACA12D" w14:textId="426DCC2F" w:rsidR="00CC08F4" w:rsidRPr="00C55392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bCs/>
                <w:color w:val="000000"/>
                <w:lang w:val="en-GB" w:eastAsia="en-GB"/>
              </w:rPr>
              <w:t>Udruženje oboljelih od dijabetesa tip 1</w:t>
            </w:r>
          </w:p>
        </w:tc>
        <w:tc>
          <w:tcPr>
            <w:tcW w:w="2252" w:type="dxa"/>
            <w:vAlign w:val="center"/>
          </w:tcPr>
          <w:p w14:paraId="2BB010B1" w14:textId="093F11B3" w:rsidR="00CC08F4" w:rsidRDefault="00CC08F4" w:rsidP="00CC08F4">
            <w:pPr>
              <w:jc w:val="center"/>
              <w:rPr>
                <w:color w:val="000000"/>
              </w:rPr>
            </w:pPr>
            <w:r w:rsidRPr="00983562">
              <w:rPr>
                <w:bCs/>
              </w:rPr>
              <w:t>Biciklizam i dijabetes: Sigurnost, edukacija i integracija u saobraćaj</w:t>
            </w:r>
          </w:p>
        </w:tc>
        <w:tc>
          <w:tcPr>
            <w:tcW w:w="2257" w:type="dxa"/>
          </w:tcPr>
          <w:p w14:paraId="324CCC67" w14:textId="77777777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</w:p>
          <w:p w14:paraId="0A273D28" w14:textId="77777777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</w:p>
          <w:p w14:paraId="1C7D2BDF" w14:textId="474A5838" w:rsidR="00CC08F4" w:rsidRDefault="00CC08F4" w:rsidP="00CC08F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4.15</w:t>
            </w:r>
            <w:r w:rsidRPr="00A60BF7">
              <w:rPr>
                <w:sz w:val="24"/>
                <w:szCs w:val="24"/>
              </w:rPr>
              <w:t>0,00KM</w:t>
            </w:r>
          </w:p>
        </w:tc>
      </w:tr>
    </w:tbl>
    <w:p w14:paraId="5F5F55DB" w14:textId="0FF3FFA7" w:rsidR="002425D3" w:rsidRDefault="002425D3" w:rsidP="006805A1">
      <w:pPr>
        <w:pStyle w:val="BodyText"/>
        <w:ind w:right="200"/>
        <w:jc w:val="both"/>
        <w:rPr>
          <w:b/>
        </w:rPr>
      </w:pPr>
    </w:p>
    <w:p w14:paraId="1EA3689C" w14:textId="77777777" w:rsidR="00CC08F4" w:rsidRPr="006805A1" w:rsidRDefault="00CC08F4" w:rsidP="006805A1">
      <w:pPr>
        <w:pStyle w:val="BodyText"/>
        <w:ind w:right="200"/>
        <w:jc w:val="both"/>
        <w:rPr>
          <w:b/>
        </w:rPr>
      </w:pPr>
    </w:p>
    <w:p w14:paraId="676D90BE" w14:textId="77777777" w:rsidR="00AC1CF4" w:rsidRPr="00B93521" w:rsidRDefault="00AA0C75" w:rsidP="00AC1CF4">
      <w:pPr>
        <w:pStyle w:val="Heading2"/>
        <w:ind w:left="0" w:right="1138" w:firstLine="0"/>
        <w:rPr>
          <w:b/>
          <w:szCs w:val="24"/>
          <w:lang w:val="bs-Latn-BA"/>
        </w:rPr>
      </w:pPr>
      <w:r>
        <w:rPr>
          <w:b/>
          <w:szCs w:val="24"/>
          <w:lang w:val="bs-Latn-BA"/>
        </w:rPr>
        <w:t xml:space="preserve">              </w:t>
      </w:r>
      <w:r w:rsidR="00AC1CF4" w:rsidRPr="00B93521">
        <w:rPr>
          <w:b/>
          <w:szCs w:val="24"/>
          <w:lang w:val="bs-Latn-BA"/>
        </w:rPr>
        <w:t xml:space="preserve">III </w:t>
      </w:r>
    </w:p>
    <w:p w14:paraId="7156AF39" w14:textId="77777777" w:rsidR="00AC1CF4" w:rsidRPr="00B93521" w:rsidRDefault="00AC1CF4" w:rsidP="00AC1CF4">
      <w:pPr>
        <w:rPr>
          <w:lang w:val="bs-Latn-BA"/>
        </w:rPr>
      </w:pPr>
    </w:p>
    <w:p w14:paraId="258D149F" w14:textId="3035446A" w:rsidR="00AC1CF4" w:rsidRPr="00B93521" w:rsidRDefault="00AC1CF4" w:rsidP="002425D3">
      <w:pPr>
        <w:pStyle w:val="BodyText"/>
        <w:jc w:val="both"/>
      </w:pPr>
      <w:r w:rsidRPr="00B93521">
        <w:t>Ministrica za odgoj i obrazovanje Kantona Sar</w:t>
      </w:r>
      <w:r w:rsidR="002425D3">
        <w:t xml:space="preserve">ajevo će sa </w:t>
      </w:r>
      <w:r w:rsidRPr="00B93521">
        <w:t>dobitni</w:t>
      </w:r>
      <w:r w:rsidR="00CC08F4">
        <w:t>cima</w:t>
      </w:r>
      <w:r w:rsidRPr="00B93521">
        <w:t xml:space="preserve"> sredstava iz tačke II ove</w:t>
      </w:r>
      <w:r w:rsidR="00E36835">
        <w:t xml:space="preserve"> Odluke potpisati Ugovor, kojim</w:t>
      </w:r>
      <w:r w:rsidRPr="00B93521">
        <w:t xml:space="preserve"> će se preciznije regulisati prava i obaveze dobitnika sredstava. </w:t>
      </w:r>
    </w:p>
    <w:p w14:paraId="305CD56E" w14:textId="77777777" w:rsidR="00AC1CF4" w:rsidRPr="00B93521" w:rsidRDefault="00AC1CF4" w:rsidP="00AC1CF4">
      <w:pPr>
        <w:rPr>
          <w:lang w:val="bs-Latn-BA"/>
        </w:rPr>
      </w:pPr>
      <w:r w:rsidRPr="00B93521">
        <w:rPr>
          <w:rFonts w:eastAsia="Times New Roman"/>
          <w:lang w:val="bs-Latn-BA"/>
        </w:rPr>
        <w:t xml:space="preserve"> </w:t>
      </w:r>
    </w:p>
    <w:p w14:paraId="7474A33E" w14:textId="77777777" w:rsidR="00AC1CF4" w:rsidRPr="00B93521" w:rsidRDefault="00AA0C75" w:rsidP="00AC1CF4">
      <w:pPr>
        <w:pStyle w:val="Heading2"/>
        <w:ind w:left="3314" w:right="4441"/>
        <w:rPr>
          <w:b/>
          <w:szCs w:val="24"/>
          <w:lang w:val="bs-Latn-BA"/>
        </w:rPr>
      </w:pPr>
      <w:r>
        <w:rPr>
          <w:b/>
          <w:szCs w:val="24"/>
          <w:lang w:val="bs-Latn-BA"/>
        </w:rPr>
        <w:t xml:space="preserve">              </w:t>
      </w:r>
      <w:r w:rsidR="00AC1CF4" w:rsidRPr="00B93521">
        <w:rPr>
          <w:b/>
          <w:szCs w:val="24"/>
          <w:lang w:val="bs-Latn-BA"/>
        </w:rPr>
        <w:t xml:space="preserve">IV </w:t>
      </w:r>
    </w:p>
    <w:p w14:paraId="39A769E6" w14:textId="77777777" w:rsidR="00AC1CF4" w:rsidRPr="00B93521" w:rsidRDefault="00AC1CF4" w:rsidP="00AC1CF4">
      <w:pPr>
        <w:rPr>
          <w:lang w:val="bs-Latn-BA"/>
        </w:rPr>
      </w:pPr>
    </w:p>
    <w:p w14:paraId="66967771" w14:textId="210E7CCB" w:rsidR="00AC1CF4" w:rsidRPr="00B93521" w:rsidRDefault="00AC1CF4" w:rsidP="002425D3">
      <w:pPr>
        <w:pStyle w:val="BodyText"/>
        <w:jc w:val="both"/>
      </w:pPr>
      <w:r w:rsidRPr="00B93521">
        <w:t xml:space="preserve">Ova </w:t>
      </w:r>
      <w:r w:rsidR="00CC08F4">
        <w:t>O</w:t>
      </w:r>
      <w:r w:rsidRPr="00B93521">
        <w:t xml:space="preserve">dluka stupa na snagu danom donošenja, objavit će se na web-stranici Ministarstva za odgoj i obrazovanje Kantona Sarajevo. </w:t>
      </w:r>
    </w:p>
    <w:p w14:paraId="3571108E" w14:textId="77777777" w:rsidR="00AC1CF4" w:rsidRDefault="00AC1CF4" w:rsidP="00AC1CF4">
      <w:pPr>
        <w:rPr>
          <w:rFonts w:eastAsia="Times New Roman"/>
          <w:lang w:val="bs-Latn-BA"/>
        </w:rPr>
      </w:pPr>
      <w:r w:rsidRPr="00B93521">
        <w:rPr>
          <w:rFonts w:eastAsia="Times New Roman"/>
          <w:lang w:val="bs-Latn-BA"/>
        </w:rPr>
        <w:t xml:space="preserve"> </w:t>
      </w:r>
    </w:p>
    <w:p w14:paraId="4D94DDA5" w14:textId="77777777" w:rsidR="00AC1CF4" w:rsidRPr="00B93521" w:rsidRDefault="00AC1CF4" w:rsidP="00AC1CF4">
      <w:pPr>
        <w:rPr>
          <w:lang w:val="bs-Latn-BA"/>
        </w:rPr>
      </w:pPr>
    </w:p>
    <w:p w14:paraId="6307D669" w14:textId="0A0E5DD7" w:rsidR="00AC1CF4" w:rsidRPr="00B93521" w:rsidRDefault="00AC1CF4" w:rsidP="002425D3">
      <w:pPr>
        <w:pStyle w:val="BodyText"/>
        <w:jc w:val="both"/>
      </w:pPr>
      <w:r w:rsidRPr="00B93521">
        <w:rPr>
          <w:b/>
        </w:rPr>
        <w:t>POUKA O PRAVNOM LIJEKU</w:t>
      </w:r>
      <w:r w:rsidRPr="00B93521">
        <w:t xml:space="preserve">: Protiv ove odluke nije dopuštena žalba, ali se može pokrenuti upravni spor pred Kantonalnim sudom u Sarajevu u roku od 30 dana od dana donošenja ove </w:t>
      </w:r>
      <w:r w:rsidR="00CC08F4">
        <w:t>O</w:t>
      </w:r>
      <w:r w:rsidRPr="00B93521">
        <w:t xml:space="preserve">dluke.          </w:t>
      </w:r>
    </w:p>
    <w:p w14:paraId="3EB96152" w14:textId="77777777" w:rsidR="00AC1CF4" w:rsidRDefault="00AC1CF4" w:rsidP="00AC1CF4">
      <w:pPr>
        <w:ind w:left="1471"/>
        <w:jc w:val="center"/>
        <w:rPr>
          <w:rFonts w:eastAsia="Times New Roman"/>
          <w:lang w:val="bs-Latn-BA"/>
        </w:rPr>
      </w:pPr>
    </w:p>
    <w:p w14:paraId="68D76532" w14:textId="77777777" w:rsidR="002425D3" w:rsidRDefault="002425D3" w:rsidP="00AC1CF4">
      <w:pPr>
        <w:ind w:left="1471"/>
        <w:jc w:val="center"/>
        <w:rPr>
          <w:rFonts w:eastAsia="Times New Roman"/>
          <w:lang w:val="bs-Latn-BA"/>
        </w:rPr>
      </w:pPr>
    </w:p>
    <w:p w14:paraId="70FE4AA5" w14:textId="77777777" w:rsidR="00AC1CF4" w:rsidRPr="00385FF0" w:rsidRDefault="00AC1CF4" w:rsidP="003D792C">
      <w:pPr>
        <w:rPr>
          <w:bCs/>
          <w:lang w:val="bs-Latn-BA"/>
        </w:rPr>
      </w:pPr>
      <w:r w:rsidRPr="00385FF0">
        <w:rPr>
          <w:rFonts w:eastAsia="Times New Roman"/>
          <w:bCs/>
          <w:lang w:val="bs-Latn-BA"/>
        </w:rPr>
        <w:t xml:space="preserve">        </w:t>
      </w:r>
    </w:p>
    <w:p w14:paraId="2CB02855" w14:textId="761789BB" w:rsidR="003D792C" w:rsidRPr="00385FF0" w:rsidRDefault="00385FF0" w:rsidP="002425D3">
      <w:pPr>
        <w:tabs>
          <w:tab w:val="left" w:pos="5944"/>
        </w:tabs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</w:t>
      </w:r>
      <w:r w:rsidRPr="00385FF0">
        <w:rPr>
          <w:bCs/>
          <w:i/>
        </w:rPr>
        <w:t>PO OVLAŠTENJU MINISTRICE</w:t>
      </w:r>
    </w:p>
    <w:p w14:paraId="78E4551E" w14:textId="0DE64520" w:rsidR="00385FF0" w:rsidRPr="00385FF0" w:rsidRDefault="00385FF0" w:rsidP="002425D3">
      <w:pPr>
        <w:tabs>
          <w:tab w:val="left" w:pos="5944"/>
        </w:tabs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</w:t>
      </w:r>
      <w:r w:rsidRPr="00385FF0">
        <w:rPr>
          <w:bCs/>
          <w:i/>
        </w:rPr>
        <w:t xml:space="preserve">POMOĆNIK MINISTRICE </w:t>
      </w:r>
    </w:p>
    <w:p w14:paraId="397B8271" w14:textId="5247FDA5" w:rsidR="003D792C" w:rsidRDefault="003D792C" w:rsidP="002425D3">
      <w:pPr>
        <w:tabs>
          <w:tab w:val="left" w:pos="5944"/>
        </w:tabs>
        <w:jc w:val="both"/>
        <w:rPr>
          <w:b/>
          <w:i/>
        </w:rPr>
      </w:pPr>
    </w:p>
    <w:p w14:paraId="2EDA7F8E" w14:textId="6E97D238" w:rsidR="003D792C" w:rsidRPr="00385FF0" w:rsidRDefault="00385FF0" w:rsidP="002425D3">
      <w:pPr>
        <w:tabs>
          <w:tab w:val="left" w:pos="5944"/>
        </w:tabs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</w:t>
      </w:r>
      <w:r w:rsidRPr="00385FF0">
        <w:rPr>
          <w:bCs/>
          <w:i/>
        </w:rPr>
        <w:t>Emil Hodžić</w:t>
      </w:r>
      <w:r w:rsidR="00DD5A8C">
        <w:rPr>
          <w:bCs/>
          <w:i/>
        </w:rPr>
        <w:t>, s.r.</w:t>
      </w:r>
    </w:p>
    <w:p w14:paraId="74943494" w14:textId="74B1F5B8" w:rsidR="003D792C" w:rsidRDefault="003D792C" w:rsidP="002425D3">
      <w:pPr>
        <w:tabs>
          <w:tab w:val="left" w:pos="5944"/>
        </w:tabs>
        <w:jc w:val="both"/>
        <w:rPr>
          <w:b/>
          <w:i/>
        </w:rPr>
      </w:pPr>
    </w:p>
    <w:p w14:paraId="6A2C79AB" w14:textId="47448FA1" w:rsidR="003D792C" w:rsidRDefault="003D792C" w:rsidP="002425D3">
      <w:pPr>
        <w:tabs>
          <w:tab w:val="left" w:pos="5944"/>
        </w:tabs>
        <w:jc w:val="both"/>
        <w:rPr>
          <w:b/>
          <w:i/>
        </w:rPr>
      </w:pPr>
    </w:p>
    <w:p w14:paraId="2C46ECA8" w14:textId="77777777" w:rsidR="003D792C" w:rsidRDefault="003D792C" w:rsidP="002425D3">
      <w:pPr>
        <w:tabs>
          <w:tab w:val="left" w:pos="5944"/>
        </w:tabs>
        <w:jc w:val="both"/>
        <w:rPr>
          <w:b/>
          <w:i/>
        </w:rPr>
      </w:pPr>
    </w:p>
    <w:p w14:paraId="5EE57BDC" w14:textId="0B9C9C6F" w:rsidR="003D792C" w:rsidRDefault="003D792C" w:rsidP="002425D3">
      <w:pPr>
        <w:tabs>
          <w:tab w:val="left" w:pos="5944"/>
        </w:tabs>
        <w:jc w:val="both"/>
        <w:rPr>
          <w:b/>
          <w:i/>
        </w:rPr>
      </w:pPr>
      <w:r>
        <w:rPr>
          <w:b/>
          <w:i/>
        </w:rPr>
        <w:t>Pripremila: Komisija</w:t>
      </w:r>
    </w:p>
    <w:sectPr w:rsidR="003D792C" w:rsidSect="00192D33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5959" w14:textId="77777777" w:rsidR="00DD6115" w:rsidRDefault="00DD6115" w:rsidP="00192D33">
      <w:r>
        <w:separator/>
      </w:r>
    </w:p>
  </w:endnote>
  <w:endnote w:type="continuationSeparator" w:id="0">
    <w:p w14:paraId="58D2228C" w14:textId="77777777" w:rsidR="00DD6115" w:rsidRDefault="00DD6115" w:rsidP="0019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3D792C" w14:paraId="0361D3E8" w14:textId="77777777" w:rsidTr="00293420">
      <w:tc>
        <w:tcPr>
          <w:tcW w:w="1100" w:type="pct"/>
          <w:shd w:val="clear" w:color="auto" w:fill="auto"/>
        </w:tcPr>
        <w:p w14:paraId="6A8801C5" w14:textId="77777777" w:rsidR="003D792C" w:rsidRDefault="003D792C" w:rsidP="003D792C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bs-Latn-BA"/>
            </w:rPr>
            <w:drawing>
              <wp:inline distT="0" distB="0" distL="0" distR="0" wp14:anchorId="5B0B256D" wp14:editId="55A79EA3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7EB8C877" w14:textId="77777777" w:rsidR="003D792C" w:rsidRDefault="003D792C" w:rsidP="003D792C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11EF7EA3" w14:textId="77777777" w:rsidR="003D792C" w:rsidRDefault="003D792C" w:rsidP="003D792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2BD9DB01" w14:textId="77777777" w:rsidR="003D792C" w:rsidRDefault="003D792C" w:rsidP="003D792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5FB37A25" w14:textId="77777777" w:rsidR="003D792C" w:rsidRPr="00372F75" w:rsidRDefault="003D792C" w:rsidP="003D792C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1A48AF2" w14:textId="77777777" w:rsidR="003D792C" w:rsidRDefault="003D7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192D33" w14:paraId="2F821D7B" w14:textId="77777777" w:rsidTr="00AC1F0F">
      <w:tc>
        <w:tcPr>
          <w:tcW w:w="1100" w:type="pct"/>
          <w:shd w:val="clear" w:color="auto" w:fill="auto"/>
        </w:tcPr>
        <w:p w14:paraId="61D70CA8" w14:textId="77777777" w:rsidR="00192D33" w:rsidRDefault="00192D33" w:rsidP="00192D33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/>
            </w:rPr>
            <w:drawing>
              <wp:inline distT="0" distB="0" distL="0" distR="0" wp14:anchorId="699F5686" wp14:editId="20C7434D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120D67E5" w14:textId="77777777" w:rsidR="00192D33" w:rsidRDefault="00192D33" w:rsidP="00192D33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27576E05" w14:textId="77777777" w:rsidR="00192D33" w:rsidRDefault="00192D33" w:rsidP="00192D33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02487A3" w14:textId="77777777" w:rsidR="00192D33" w:rsidRDefault="00192D33" w:rsidP="00192D33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74745F8A" w14:textId="77777777" w:rsidR="00192D33" w:rsidRPr="00372F75" w:rsidRDefault="00192D33" w:rsidP="00192D33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B11BD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B11BD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2DB1C456" w14:textId="77777777" w:rsidR="00192D33" w:rsidRDefault="0019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9417" w14:textId="77777777" w:rsidR="00DD6115" w:rsidRDefault="00DD6115" w:rsidP="00192D33">
      <w:r>
        <w:separator/>
      </w:r>
    </w:p>
  </w:footnote>
  <w:footnote w:type="continuationSeparator" w:id="0">
    <w:p w14:paraId="15CB37B1" w14:textId="77777777" w:rsidR="00DD6115" w:rsidRDefault="00DD6115" w:rsidP="0019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192D33" w14:paraId="49527BF0" w14:textId="77777777" w:rsidTr="00AC1F0F">
      <w:tc>
        <w:tcPr>
          <w:tcW w:w="4244" w:type="dxa"/>
          <w:shd w:val="clear" w:color="auto" w:fill="auto"/>
        </w:tcPr>
        <w:p w14:paraId="2FF65A9A" w14:textId="77777777" w:rsidR="00192D33" w:rsidRDefault="00192D33" w:rsidP="00192D33">
          <w:pPr>
            <w:pStyle w:val="Header"/>
            <w:jc w:val="right"/>
          </w:pPr>
          <w:r>
            <w:rPr>
              <w:sz w:val="22"/>
              <w:szCs w:val="22"/>
            </w:rPr>
            <w:t>Bosna i Hercegovina</w:t>
          </w:r>
        </w:p>
        <w:p w14:paraId="18FE930D" w14:textId="77777777" w:rsidR="00192D33" w:rsidRDefault="00192D33" w:rsidP="00192D33">
          <w:pPr>
            <w:pStyle w:val="Header"/>
            <w:jc w:val="right"/>
          </w:pPr>
          <w:r>
            <w:rPr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795C09AC" w14:textId="77777777" w:rsidR="00192D33" w:rsidRDefault="00192D33" w:rsidP="00192D33">
          <w:pPr>
            <w:pStyle w:val="Header"/>
            <w:rPr>
              <w:sz w:val="22"/>
              <w:szCs w:val="22"/>
            </w:rPr>
          </w:pPr>
          <w:r w:rsidRPr="00B531EC"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5B51DF87" wp14:editId="6EF93627">
                <wp:extent cx="628015" cy="802005"/>
                <wp:effectExtent l="0" t="0" r="635" b="0"/>
                <wp:docPr id="1" name="Picture 1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5AEC1547" w14:textId="77777777" w:rsidR="00192D33" w:rsidRDefault="00192D33" w:rsidP="00192D33">
          <w:pPr>
            <w:pStyle w:val="Header"/>
          </w:pPr>
          <w:r>
            <w:rPr>
              <w:sz w:val="22"/>
              <w:szCs w:val="22"/>
            </w:rPr>
            <w:t>Босна и Херцеговина</w:t>
          </w:r>
        </w:p>
        <w:p w14:paraId="2DF92022" w14:textId="77777777" w:rsidR="00192D33" w:rsidRDefault="00192D33" w:rsidP="00192D33">
          <w:pPr>
            <w:pStyle w:val="Header"/>
          </w:pPr>
          <w:r>
            <w:rPr>
              <w:sz w:val="22"/>
              <w:szCs w:val="22"/>
            </w:rPr>
            <w:t>Федерација Босне и Херцеговине</w:t>
          </w:r>
        </w:p>
      </w:tc>
    </w:tr>
    <w:tr w:rsidR="00192D33" w14:paraId="17C21E70" w14:textId="77777777" w:rsidTr="00AC1F0F">
      <w:trPr>
        <w:trHeight w:val="636"/>
      </w:trPr>
      <w:tc>
        <w:tcPr>
          <w:tcW w:w="4244" w:type="dxa"/>
          <w:shd w:val="clear" w:color="auto" w:fill="auto"/>
        </w:tcPr>
        <w:p w14:paraId="7C6979E1" w14:textId="77777777" w:rsidR="00192D33" w:rsidRDefault="00192D33" w:rsidP="00192D33">
          <w:pPr>
            <w:pStyle w:val="Header"/>
            <w:jc w:val="right"/>
          </w:pPr>
          <w:r>
            <w:rPr>
              <w:sz w:val="22"/>
              <w:szCs w:val="22"/>
            </w:rPr>
            <w:t xml:space="preserve">                     </w:t>
          </w:r>
          <w:r>
            <w:rPr>
              <w:b/>
              <w:bCs/>
              <w:sz w:val="22"/>
              <w:szCs w:val="22"/>
            </w:rPr>
            <w:t xml:space="preserve"> KANTON SARAJEVO</w:t>
          </w:r>
        </w:p>
        <w:p w14:paraId="7575A8D1" w14:textId="77777777" w:rsidR="00192D33" w:rsidRDefault="00192D33" w:rsidP="00192D33">
          <w:pPr>
            <w:pStyle w:val="Header"/>
            <w:jc w:val="right"/>
          </w:pPr>
          <w:r>
            <w:rPr>
              <w:b/>
              <w:bCs/>
              <w:sz w:val="22"/>
              <w:szCs w:val="22"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3DDA5256" w14:textId="77777777" w:rsidR="00192D33" w:rsidRDefault="00192D33" w:rsidP="00192D33"/>
      </w:tc>
      <w:tc>
        <w:tcPr>
          <w:tcW w:w="4171" w:type="dxa"/>
          <w:shd w:val="clear" w:color="auto" w:fill="auto"/>
        </w:tcPr>
        <w:p w14:paraId="7B95832E" w14:textId="77777777" w:rsidR="00192D33" w:rsidRDefault="00192D33" w:rsidP="00192D33">
          <w:pPr>
            <w:pStyle w:val="Header"/>
            <w:spacing w:after="17"/>
          </w:pPr>
          <w:r>
            <w:rPr>
              <w:b/>
              <w:bCs/>
              <w:sz w:val="22"/>
              <w:szCs w:val="22"/>
            </w:rPr>
            <w:t>КАНТОН САРАЈЕВО</w:t>
          </w:r>
        </w:p>
        <w:p w14:paraId="31D68907" w14:textId="77777777" w:rsidR="00192D33" w:rsidRDefault="00192D33" w:rsidP="00192D33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0E539B33" w14:textId="77777777" w:rsidR="00192D33" w:rsidRDefault="00192D33" w:rsidP="00192D33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3875BC35" w14:textId="77777777" w:rsidR="00192D33" w:rsidRDefault="00192D33" w:rsidP="00192D33">
          <w:pPr>
            <w:pStyle w:val="Header"/>
            <w:spacing w:after="17"/>
          </w:pPr>
        </w:p>
      </w:tc>
    </w:tr>
    <w:tr w:rsidR="00192D33" w14:paraId="67CBE1B9" w14:textId="77777777" w:rsidTr="00AC1F0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192D33" w14:paraId="5B0122F0" w14:textId="77777777" w:rsidTr="00AC1F0F">
            <w:tc>
              <w:tcPr>
                <w:tcW w:w="4825" w:type="dxa"/>
                <w:shd w:val="clear" w:color="auto" w:fill="auto"/>
              </w:tcPr>
              <w:p w14:paraId="0D1678B8" w14:textId="77777777" w:rsidR="00192D33" w:rsidRPr="00B05450" w:rsidRDefault="00192D33" w:rsidP="00192D33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3221F001" w14:textId="77777777" w:rsidR="00192D33" w:rsidRPr="00B05450" w:rsidRDefault="00192D33" w:rsidP="00192D33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192D33" w14:paraId="51FCACD7" w14:textId="77777777" w:rsidTr="00AC1F0F">
            <w:tc>
              <w:tcPr>
                <w:tcW w:w="4825" w:type="dxa"/>
                <w:shd w:val="clear" w:color="auto" w:fill="auto"/>
              </w:tcPr>
              <w:p w14:paraId="55A64374" w14:textId="77777777" w:rsidR="00192D33" w:rsidRPr="00B05450" w:rsidRDefault="00192D33" w:rsidP="00192D33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6676930D" w14:textId="77777777" w:rsidR="00192D33" w:rsidRPr="00B05450" w:rsidRDefault="00192D33" w:rsidP="00192D33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6DF458B9" w14:textId="77777777" w:rsidR="00192D33" w:rsidRPr="00B05450" w:rsidRDefault="00192D33" w:rsidP="00192D33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657F82DA" w14:textId="77777777" w:rsidR="00192D33" w:rsidRDefault="00192D33" w:rsidP="00192D33">
          <w:pPr>
            <w:pStyle w:val="Header"/>
            <w:rPr>
              <w:sz w:val="22"/>
              <w:szCs w:val="22"/>
            </w:rPr>
          </w:pPr>
        </w:p>
      </w:tc>
    </w:tr>
  </w:tbl>
  <w:p w14:paraId="139F7211" w14:textId="77777777" w:rsidR="00192D33" w:rsidRDefault="00192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E1"/>
    <w:rsid w:val="000162ED"/>
    <w:rsid w:val="0009377B"/>
    <w:rsid w:val="000A2309"/>
    <w:rsid w:val="000B43D3"/>
    <w:rsid w:val="000E56DF"/>
    <w:rsid w:val="00171455"/>
    <w:rsid w:val="00192D33"/>
    <w:rsid w:val="0019505F"/>
    <w:rsid w:val="0019676B"/>
    <w:rsid w:val="001B08A5"/>
    <w:rsid w:val="001E0978"/>
    <w:rsid w:val="001E771D"/>
    <w:rsid w:val="00200429"/>
    <w:rsid w:val="00214963"/>
    <w:rsid w:val="002425D3"/>
    <w:rsid w:val="002A0F3B"/>
    <w:rsid w:val="002A4B79"/>
    <w:rsid w:val="002C2DE1"/>
    <w:rsid w:val="00325F13"/>
    <w:rsid w:val="00353EA7"/>
    <w:rsid w:val="00360480"/>
    <w:rsid w:val="00373540"/>
    <w:rsid w:val="00385FF0"/>
    <w:rsid w:val="003A33D2"/>
    <w:rsid w:val="003C1FD3"/>
    <w:rsid w:val="003D792C"/>
    <w:rsid w:val="004261D0"/>
    <w:rsid w:val="004368D0"/>
    <w:rsid w:val="0044232D"/>
    <w:rsid w:val="0046736D"/>
    <w:rsid w:val="00482432"/>
    <w:rsid w:val="004842D9"/>
    <w:rsid w:val="004D678B"/>
    <w:rsid w:val="00506425"/>
    <w:rsid w:val="005176E2"/>
    <w:rsid w:val="00533D0D"/>
    <w:rsid w:val="005671CA"/>
    <w:rsid w:val="00596363"/>
    <w:rsid w:val="005A1D05"/>
    <w:rsid w:val="005B3E9B"/>
    <w:rsid w:val="005C0F30"/>
    <w:rsid w:val="005D337A"/>
    <w:rsid w:val="00620366"/>
    <w:rsid w:val="00621FEC"/>
    <w:rsid w:val="006622D8"/>
    <w:rsid w:val="00673C4D"/>
    <w:rsid w:val="006805A1"/>
    <w:rsid w:val="00690DB0"/>
    <w:rsid w:val="0069162C"/>
    <w:rsid w:val="00697BC3"/>
    <w:rsid w:val="00697CF5"/>
    <w:rsid w:val="006B11BD"/>
    <w:rsid w:val="006C5862"/>
    <w:rsid w:val="006E4B5E"/>
    <w:rsid w:val="00702E8A"/>
    <w:rsid w:val="00737AE0"/>
    <w:rsid w:val="00755667"/>
    <w:rsid w:val="00771781"/>
    <w:rsid w:val="00776B2B"/>
    <w:rsid w:val="007A1358"/>
    <w:rsid w:val="007B1679"/>
    <w:rsid w:val="007E6225"/>
    <w:rsid w:val="00840EC4"/>
    <w:rsid w:val="0084618D"/>
    <w:rsid w:val="00850D63"/>
    <w:rsid w:val="0086122C"/>
    <w:rsid w:val="008C6873"/>
    <w:rsid w:val="008E550E"/>
    <w:rsid w:val="008F0637"/>
    <w:rsid w:val="008F7B31"/>
    <w:rsid w:val="0090393E"/>
    <w:rsid w:val="00906AAF"/>
    <w:rsid w:val="00917C2E"/>
    <w:rsid w:val="009212AD"/>
    <w:rsid w:val="00937C71"/>
    <w:rsid w:val="0097492E"/>
    <w:rsid w:val="009A3D91"/>
    <w:rsid w:val="009C6EF0"/>
    <w:rsid w:val="009E175F"/>
    <w:rsid w:val="00A2704B"/>
    <w:rsid w:val="00A670AE"/>
    <w:rsid w:val="00A70855"/>
    <w:rsid w:val="00AA0C75"/>
    <w:rsid w:val="00AA340C"/>
    <w:rsid w:val="00AA782F"/>
    <w:rsid w:val="00AC1CF4"/>
    <w:rsid w:val="00AD60DB"/>
    <w:rsid w:val="00AF59EF"/>
    <w:rsid w:val="00B3357D"/>
    <w:rsid w:val="00B45EB9"/>
    <w:rsid w:val="00B53CE1"/>
    <w:rsid w:val="00B73B9E"/>
    <w:rsid w:val="00BC2ECC"/>
    <w:rsid w:val="00C52E28"/>
    <w:rsid w:val="00C76CC2"/>
    <w:rsid w:val="00C917C5"/>
    <w:rsid w:val="00C96AB6"/>
    <w:rsid w:val="00CB16E4"/>
    <w:rsid w:val="00CC08F4"/>
    <w:rsid w:val="00CE087D"/>
    <w:rsid w:val="00D05FBE"/>
    <w:rsid w:val="00D25ABD"/>
    <w:rsid w:val="00D325F8"/>
    <w:rsid w:val="00DC33E6"/>
    <w:rsid w:val="00DC37B5"/>
    <w:rsid w:val="00DD5A8C"/>
    <w:rsid w:val="00DD6115"/>
    <w:rsid w:val="00DD6CC7"/>
    <w:rsid w:val="00DF7C98"/>
    <w:rsid w:val="00E018A6"/>
    <w:rsid w:val="00E278C6"/>
    <w:rsid w:val="00E3248D"/>
    <w:rsid w:val="00E36835"/>
    <w:rsid w:val="00E577AF"/>
    <w:rsid w:val="00E65268"/>
    <w:rsid w:val="00E93B49"/>
    <w:rsid w:val="00ED36F9"/>
    <w:rsid w:val="00EF4531"/>
    <w:rsid w:val="00F14E27"/>
    <w:rsid w:val="00F15ABD"/>
    <w:rsid w:val="00F17A60"/>
    <w:rsid w:val="00F433F7"/>
    <w:rsid w:val="00F666D3"/>
    <w:rsid w:val="00F76371"/>
    <w:rsid w:val="00F86EC3"/>
    <w:rsid w:val="00FB058F"/>
    <w:rsid w:val="00FC4FC3"/>
    <w:rsid w:val="00FC736F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710F"/>
  <w15:chartTrackingRefBased/>
  <w15:docId w15:val="{0B0B783A-23F6-41A2-A089-3FDFB547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E2"/>
    <w:rPr>
      <w:rFonts w:ascii="Times New Roman" w:hAnsi="Times New Roman"/>
      <w:sz w:val="24"/>
      <w:szCs w:val="24"/>
      <w:lang w:val="hr-HR" w:eastAsia="hr-HR"/>
    </w:rPr>
  </w:style>
  <w:style w:type="paragraph" w:styleId="Heading2">
    <w:name w:val="heading 2"/>
    <w:next w:val="Normal"/>
    <w:link w:val="Heading2Char"/>
    <w:uiPriority w:val="9"/>
    <w:unhideWhenUsed/>
    <w:qFormat/>
    <w:rsid w:val="00AC1CF4"/>
    <w:pPr>
      <w:keepNext/>
      <w:keepLines/>
      <w:spacing w:line="259" w:lineRule="auto"/>
      <w:ind w:left="10" w:right="1137" w:hanging="10"/>
      <w:jc w:val="center"/>
      <w:outlineLvl w:val="1"/>
    </w:pPr>
    <w:rPr>
      <w:rFonts w:ascii="Times New Roman" w:eastAsia="Times New Roman" w:hAnsi="Times New Roman"/>
      <w:color w:val="000000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2DE1"/>
    <w:pPr>
      <w:widowControl w:val="0"/>
      <w:autoSpaceDE w:val="0"/>
      <w:autoSpaceDN w:val="0"/>
    </w:pPr>
    <w:rPr>
      <w:rFonts w:eastAsia="Times New Roman"/>
      <w:lang w:val="b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C2DE1"/>
    <w:rPr>
      <w:rFonts w:ascii="Times New Roman" w:eastAsia="Times New Roman" w:hAnsi="Times New Roman"/>
      <w:sz w:val="24"/>
      <w:szCs w:val="24"/>
      <w:lang w:val="bs"/>
    </w:rPr>
  </w:style>
  <w:style w:type="table" w:styleId="TableGrid">
    <w:name w:val="Table Grid"/>
    <w:basedOn w:val="TableNormal"/>
    <w:uiPriority w:val="39"/>
    <w:rsid w:val="0066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CF4"/>
    <w:rPr>
      <w:rFonts w:ascii="Times New Roman" w:eastAsia="Times New Roman" w:hAnsi="Times New Roman"/>
      <w:color w:val="000000"/>
      <w:sz w:val="24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D59FE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bs" w:eastAsia="en-US"/>
    </w:rPr>
  </w:style>
  <w:style w:type="paragraph" w:styleId="Header">
    <w:name w:val="header"/>
    <w:basedOn w:val="Normal"/>
    <w:link w:val="HeaderChar"/>
    <w:uiPriority w:val="99"/>
    <w:unhideWhenUsed/>
    <w:rsid w:val="00192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33"/>
    <w:rPr>
      <w:rFonts w:ascii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92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33"/>
    <w:rPr>
      <w:rFonts w:ascii="Times New Roman" w:hAnsi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192D33"/>
    <w:pPr>
      <w:spacing w:before="100" w:beforeAutospacing="1" w:after="142" w:line="288" w:lineRule="auto"/>
    </w:pPr>
    <w:rPr>
      <w:rFonts w:eastAsia="Times New Roman"/>
      <w:lang w:val="bs-Latn-BA" w:eastAsia="bs-Latn-BA"/>
    </w:rPr>
  </w:style>
  <w:style w:type="paragraph" w:customStyle="1" w:styleId="western">
    <w:name w:val="western"/>
    <w:basedOn w:val="Normal"/>
    <w:rsid w:val="00192D33"/>
    <w:pPr>
      <w:spacing w:before="100" w:beforeAutospacing="1" w:after="142" w:line="288" w:lineRule="auto"/>
    </w:pPr>
    <w:rPr>
      <w:rFonts w:eastAsia="Times New Roman"/>
      <w:sz w:val="22"/>
      <w:szCs w:val="2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63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</cp:lastModifiedBy>
  <cp:revision>7</cp:revision>
  <cp:lastPrinted>2023-08-16T07:30:00Z</cp:lastPrinted>
  <dcterms:created xsi:type="dcterms:W3CDTF">2024-07-12T14:35:00Z</dcterms:created>
  <dcterms:modified xsi:type="dcterms:W3CDTF">2024-08-15T07:55:00Z</dcterms:modified>
</cp:coreProperties>
</file>